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false"/>
        <w:jc w:val="center"/>
        <w:rPr>
          <w:sz w:val="32"/>
        </w:rPr>
      </w:pPr>
      <w:r>
        <w:rPr>
          <w:sz w:val="32"/>
        </w:rPr>
      </w:r>
      <w:bookmarkStart w:id="0" w:name="_GoBack"/>
      <w:bookmarkStart w:id="1" w:name="_GoBack"/>
      <w:bookmarkEnd w:id="1"/>
    </w:p>
    <w:p>
      <w:pPr>
        <w:pStyle w:val="Normal"/>
        <w:overflowPunct w:val="false"/>
        <w:jc w:val="center"/>
        <w:rPr/>
      </w:pPr>
      <w:r>
        <w:rPr>
          <w:sz w:val="32"/>
        </w:rPr>
        <w:t>令和７年度浦添市電算用消耗品単価契約２契約書（案）</w:t>
      </w:r>
    </w:p>
    <w:p>
      <w:pPr>
        <w:pStyle w:val="Normal"/>
        <w:overflowPunct w:val="false"/>
        <w:rPr/>
      </w:pPr>
      <w:r>
        <w:rPr/>
      </w:r>
    </w:p>
    <w:p>
      <w:pPr>
        <w:pStyle w:val="Normal"/>
        <w:overflowPunct w:val="false"/>
        <w:rPr/>
      </w:pPr>
      <w:r>
        <w:rPr/>
      </w:r>
    </w:p>
    <w:p>
      <w:pPr>
        <w:pStyle w:val="Normal"/>
        <w:overflowPunct w:val="false"/>
        <w:jc w:val="center"/>
        <w:rPr/>
      </w:pPr>
      <w:r>
        <w:rPr>
          <w:sz w:val="28"/>
        </w:rPr>
        <w:t>「契約の要項」</w:t>
      </w:r>
    </w:p>
    <w:p>
      <w:pPr>
        <w:pStyle w:val="Normal"/>
        <w:overflowPunct w:val="false"/>
        <w:rPr/>
      </w:pPr>
      <w:r>
        <w:rPr/>
      </w:r>
    </w:p>
    <w:p>
      <w:pPr>
        <w:pStyle w:val="Normal"/>
        <w:overflowPunct w:val="false"/>
        <w:rPr/>
      </w:pPr>
      <w:r>
        <w:rPr/>
        <w:t>（１）　契約の目的　　　浦添市電算用消耗品単価契約２</w:t>
      </w:r>
    </w:p>
    <w:p>
      <w:pPr>
        <w:pStyle w:val="Normal"/>
        <w:overflowPunct w:val="false"/>
        <w:rPr/>
      </w:pPr>
      <w:r>
        <w:rPr/>
        <w:t>（２）　品質規格等　　　別紙「電算用消耗品単価契約２仕様書」のとおり</w:t>
      </w:r>
    </w:p>
    <w:p>
      <w:pPr>
        <w:pStyle w:val="Normal"/>
        <w:overflowPunct w:val="false"/>
        <w:rPr/>
      </w:pPr>
      <w:r>
        <w:rPr/>
        <w:t>（３）　契約単価　　　　別紙「電算用消耗品単価契約２明細書」のとおり</w:t>
      </w:r>
    </w:p>
    <w:p>
      <w:pPr>
        <w:pStyle w:val="Normal"/>
        <w:overflowPunct w:val="false"/>
        <w:rPr/>
      </w:pPr>
      <w:r>
        <w:rPr/>
        <w:t>（４）　契約期間　　　　令和　年　月　日から令和　年　月　日まで</w:t>
      </w:r>
    </w:p>
    <w:p>
      <w:pPr>
        <w:pStyle w:val="Normal"/>
        <w:overflowPunct w:val="false"/>
        <w:rPr/>
      </w:pPr>
      <w:r>
        <w:rPr/>
        <w:t>（５）　契約保証金　　　</w:t>
      </w:r>
      <w:r>
        <w:rPr>
          <w:szCs w:val="22"/>
        </w:rPr>
        <w:t>浦添市契約規則第６条による</w:t>
      </w:r>
    </w:p>
    <w:p>
      <w:pPr>
        <w:pStyle w:val="Normal"/>
        <w:overflowPunct w:val="false"/>
        <w:rPr/>
      </w:pPr>
      <w:r>
        <w:rPr/>
        <w:t>（６）　納入場所　　　　浦添市役所　企画部情報政策課内</w:t>
      </w:r>
    </w:p>
    <w:p>
      <w:pPr>
        <w:pStyle w:val="Normal"/>
        <w:overflowPunct w:val="false"/>
        <w:rPr/>
      </w:pPr>
      <w:r>
        <w:rPr/>
        <w:t>（７）　代金支払方法　　甲が乙の指定金融機関の口座に振り込む。</w:t>
      </w:r>
    </w:p>
    <w:p>
      <w:pPr>
        <w:pStyle w:val="Normal"/>
        <w:overflowPunct w:val="false"/>
        <w:rPr/>
      </w:pPr>
      <w:r>
        <w:rPr/>
      </w:r>
    </w:p>
    <w:p>
      <w:pPr>
        <w:pStyle w:val="Normal"/>
        <w:overflowPunct w:val="false"/>
        <w:rPr/>
      </w:pPr>
      <w:r>
        <w:rPr/>
      </w:r>
    </w:p>
    <w:p>
      <w:pPr>
        <w:pStyle w:val="Normal"/>
        <w:overflowPunct w:val="false"/>
        <w:ind w:firstLine="227"/>
        <w:rPr/>
      </w:pPr>
      <w:r>
        <w:rPr/>
        <w:t>浦添市長　松本　哲治（以下、「甲」という。）と○○○○○○○○（以下、「乙」という。）とは物品の売買について次葉以降の内容によって契約を締結し、信義に従って誠実にこれを履行するものとする。</w:t>
      </w:r>
    </w:p>
    <w:p>
      <w:pPr>
        <w:pStyle w:val="Normal"/>
        <w:overflowPunct w:val="false"/>
        <w:ind w:firstLine="227"/>
        <w:rPr/>
      </w:pPr>
      <w:r>
        <w:rPr/>
        <w:t>この契約を証するため、本書２通を作成し、甲、乙が記名押印のうえ、各自その１通を所持する。</w:t>
      </w:r>
    </w:p>
    <w:p>
      <w:pPr>
        <w:pStyle w:val="Normal"/>
        <w:overflowPunct w:val="false"/>
        <w:rPr/>
      </w:pPr>
      <w:r>
        <w:rPr/>
      </w:r>
    </w:p>
    <w:p>
      <w:pPr>
        <w:pStyle w:val="Normal"/>
        <w:overflowPunct w:val="false"/>
        <w:snapToGrid w:val="false"/>
        <w:rPr>
          <w:sz w:val="24"/>
        </w:rPr>
      </w:pPr>
      <w:r>
        <w:rPr>
          <w:sz w:val="24"/>
        </w:rPr>
      </w:r>
    </w:p>
    <w:p>
      <w:pPr>
        <w:pStyle w:val="Normal"/>
        <w:overflowPunct w:val="false"/>
        <w:snapToGrid w:val="false"/>
        <w:ind w:firstLine="247"/>
        <w:rPr>
          <w:rFonts w:cs="ＭＳ 明朝"/>
          <w:sz w:val="24"/>
        </w:rPr>
      </w:pPr>
      <w:r>
        <w:rPr>
          <w:sz w:val="24"/>
        </w:rPr>
        <w:t>令和　年</w:t>
      </w:r>
      <w:r>
        <w:rPr>
          <w:rFonts w:cs="ＭＳ 明朝"/>
          <w:sz w:val="24"/>
        </w:rPr>
        <w:t>　</w:t>
      </w:r>
      <w:r>
        <w:rPr>
          <w:sz w:val="24"/>
        </w:rPr>
        <w:t>月　日</w:t>
      </w:r>
    </w:p>
    <w:p>
      <w:pPr>
        <w:pStyle w:val="Normal"/>
        <w:overflowPunct w:val="false"/>
        <w:snapToGrid w:val="false"/>
        <w:rPr>
          <w:sz w:val="24"/>
        </w:rPr>
      </w:pPr>
      <w:r>
        <w:rPr>
          <w:sz w:val="24"/>
        </w:rPr>
      </w:r>
    </w:p>
    <w:p>
      <w:pPr>
        <w:pStyle w:val="Normal"/>
        <w:overflowPunct w:val="false"/>
        <w:snapToGrid w:val="false"/>
        <w:rPr>
          <w:sz w:val="24"/>
        </w:rPr>
      </w:pPr>
      <w:r>
        <w:rPr>
          <w:sz w:val="24"/>
        </w:rPr>
      </w:r>
    </w:p>
    <w:p>
      <w:pPr>
        <w:pStyle w:val="Normal"/>
        <w:overflowPunct w:val="false"/>
        <w:snapToGrid w:val="false"/>
        <w:ind w:firstLine="2929"/>
        <w:rPr>
          <w:sz w:val="24"/>
        </w:rPr>
      </w:pPr>
      <w:r>
        <w:rPr>
          <w:sz w:val="24"/>
        </w:rPr>
        <w:t>甲    浦添市安波茶一丁目１番１号</w:t>
      </w:r>
    </w:p>
    <w:p>
      <w:pPr>
        <w:pStyle w:val="Normal"/>
        <w:overflowPunct w:val="false"/>
        <w:snapToGrid w:val="false"/>
        <w:ind w:firstLine="3600"/>
        <w:rPr>
          <w:sz w:val="24"/>
        </w:rPr>
      </w:pPr>
      <w:r>
        <w:rPr>
          <w:sz w:val="24"/>
        </w:rPr>
        <w:t>浦添市長　松本　哲治</w:t>
      </w:r>
    </w:p>
    <w:p>
      <w:pPr>
        <w:pStyle w:val="Normal"/>
        <w:overflowPunct w:val="false"/>
        <w:snapToGrid w:val="false"/>
        <w:rPr>
          <w:sz w:val="24"/>
        </w:rPr>
      </w:pPr>
      <w:r>
        <w:rPr>
          <w:sz w:val="24"/>
        </w:rPr>
      </w:r>
    </w:p>
    <w:p>
      <w:pPr>
        <w:pStyle w:val="Normal"/>
        <w:overflowPunct w:val="false"/>
        <w:snapToGrid w:val="false"/>
        <w:rPr>
          <w:sz w:val="24"/>
        </w:rPr>
      </w:pPr>
      <w:r>
        <w:rPr>
          <w:sz w:val="24"/>
        </w:rPr>
      </w:r>
    </w:p>
    <w:p>
      <w:pPr>
        <w:pStyle w:val="Normal"/>
        <w:overflowPunct w:val="false"/>
        <w:snapToGrid w:val="false"/>
        <w:rPr>
          <w:sz w:val="24"/>
        </w:rPr>
      </w:pPr>
      <w:r>
        <w:rPr>
          <w:sz w:val="24"/>
        </w:rPr>
      </w:r>
    </w:p>
    <w:p>
      <w:pPr>
        <w:pStyle w:val="Normal"/>
        <w:overflowPunct w:val="false"/>
        <w:snapToGrid w:val="false"/>
        <w:rPr>
          <w:sz w:val="24"/>
        </w:rPr>
      </w:pPr>
      <w:r>
        <w:rPr>
          <w:sz w:val="24"/>
        </w:rPr>
        <w:t xml:space="preserve">　　　　　　　　　　　　乙　　 </w:t>
      </w:r>
    </w:p>
    <w:p>
      <w:pPr>
        <w:pStyle w:val="Normal"/>
        <w:overflowPunct w:val="false"/>
        <w:snapToGrid w:val="false"/>
        <w:rPr>
          <w:color w:val="FF0000"/>
          <w:sz w:val="24"/>
        </w:rPr>
      </w:pPr>
      <w:r>
        <w:rPr>
          <w:sz w:val="24"/>
        </w:rPr>
        <w:t>　　　　　　　　　　　　　　　</w:t>
      </w:r>
    </w:p>
    <w:p>
      <w:pPr>
        <w:pStyle w:val="Normal"/>
        <w:overflowPunct w:val="false"/>
        <w:snapToGrid w:val="false"/>
        <w:rPr>
          <w:rFonts w:cs="ＭＳ 明朝"/>
          <w:color w:val="FF0000"/>
          <w:sz w:val="24"/>
        </w:rPr>
      </w:pPr>
      <w:r>
        <w:rPr>
          <w:sz w:val="24"/>
        </w:rPr>
        <w:t>　　　　　　　　　　　　　　　</w:t>
      </w:r>
    </w:p>
    <w:p>
      <w:pPr>
        <w:pStyle w:val="Normal"/>
        <w:overflowPunct w:val="false"/>
        <w:snapToGrid w:val="false"/>
        <w:rPr>
          <w:rFonts w:cs="ＭＳ 明朝"/>
          <w:sz w:val="24"/>
        </w:rPr>
      </w:pPr>
      <w:r>
        <w:rPr>
          <w:rFonts w:cs="ＭＳ 明朝"/>
          <w:sz w:val="24"/>
        </w:rPr>
      </w:r>
    </w:p>
    <w:p>
      <w:pPr>
        <w:pStyle w:val="Normal"/>
        <w:overflowPunct w:val="false"/>
        <w:snapToGrid w:val="false"/>
        <w:rPr>
          <w:sz w:val="24"/>
        </w:rPr>
      </w:pPr>
      <w:r>
        <w:rPr>
          <w:sz w:val="24"/>
        </w:rPr>
      </w:r>
    </w:p>
    <w:p>
      <w:pPr>
        <w:pStyle w:val="Normal"/>
        <w:overflowPunct w:val="false"/>
        <w:snapToGrid w:val="false"/>
        <w:rPr>
          <w:sz w:val="24"/>
        </w:rPr>
      </w:pPr>
      <w:r>
        <w:rPr>
          <w:sz w:val="24"/>
        </w:rPr>
      </w:r>
      <w:r>
        <w:br w:type="page"/>
      </w:r>
    </w:p>
    <w:p>
      <w:pPr>
        <w:pStyle w:val="Normal"/>
        <w:overflowPunct w:val="false"/>
        <w:rPr/>
      </w:pPr>
      <w:r>
        <w:rPr/>
        <w:t>一般条項</w:t>
      </w:r>
    </w:p>
    <w:p>
      <w:pPr>
        <w:pStyle w:val="Normal"/>
        <w:overflowPunct w:val="false"/>
        <w:rPr/>
      </w:pPr>
      <w:r>
        <w:rPr/>
      </w:r>
    </w:p>
    <w:p>
      <w:pPr>
        <w:pStyle w:val="Normal"/>
        <w:overflowPunct w:val="false"/>
        <w:ind w:firstLine="227"/>
        <w:rPr/>
      </w:pPr>
      <w:r>
        <w:rPr/>
        <w:t>（完全合意）</w:t>
      </w:r>
    </w:p>
    <w:p>
      <w:pPr>
        <w:pStyle w:val="Normal"/>
        <w:overflowPunct w:val="false"/>
        <w:ind w:left="227" w:hanging="227"/>
        <w:rPr/>
      </w:pPr>
      <w:r>
        <w:rPr/>
        <w:t>第１条　本契約は、締結日現在における甲及び乙の合意を規定したものであり、本契約締結前に両者間でなされた協議内容若しくは合意事項又は一方当事者から相手方に提供された各種資料若しくは申し入れ及びこれに類するものと本契約の内容とが相違する場合は、本契約が優先するものとする。</w:t>
      </w:r>
    </w:p>
    <w:p>
      <w:pPr>
        <w:pStyle w:val="Normal"/>
        <w:overflowPunct w:val="false"/>
        <w:ind w:left="227" w:hanging="227"/>
        <w:rPr/>
      </w:pPr>
      <w:r>
        <w:rPr/>
        <w:t>２　本契約に記載されている内容は、甲及び乙の間における本契約に関する合意内容の全てであり、本契約に基づき取り引きされる製品（以下、「物品」という。）に関し、甲及び乙は、本契約に記載されている内容以上の義務及び責任を有しない。</w:t>
      </w:r>
    </w:p>
    <w:p>
      <w:pPr>
        <w:pStyle w:val="Normal"/>
        <w:overflowPunct w:val="false"/>
        <w:rPr/>
      </w:pPr>
      <w:r>
        <w:rPr/>
      </w:r>
    </w:p>
    <w:p>
      <w:pPr>
        <w:pStyle w:val="Normal"/>
        <w:overflowPunct w:val="false"/>
        <w:ind w:firstLine="227"/>
        <w:rPr/>
      </w:pPr>
      <w:r>
        <w:rPr/>
        <w:t>（契約金額）</w:t>
      </w:r>
    </w:p>
    <w:p>
      <w:pPr>
        <w:pStyle w:val="Normal"/>
        <w:tabs>
          <w:tab w:val="clear" w:pos="840"/>
          <w:tab w:val="left" w:pos="915" w:leader="none"/>
        </w:tabs>
        <w:overflowPunct w:val="false"/>
        <w:ind w:left="440" w:hanging="440"/>
        <w:jc w:val="left"/>
        <w:rPr/>
      </w:pPr>
      <w:r>
        <w:rPr/>
        <w:t>第２条　物品の単価は、別紙「電算用消耗品単価契約明細書」（以下、「明細書」という）</w:t>
      </w:r>
    </w:p>
    <w:p>
      <w:pPr>
        <w:pStyle w:val="Normal"/>
        <w:tabs>
          <w:tab w:val="clear" w:pos="840"/>
          <w:tab w:val="left" w:pos="915" w:leader="none"/>
        </w:tabs>
        <w:overflowPunct w:val="false"/>
        <w:ind w:left="440" w:hanging="220"/>
        <w:jc w:val="left"/>
        <w:rPr/>
      </w:pPr>
      <w:r>
        <w:rPr/>
        <w:t>のとおりとする。</w:t>
      </w:r>
    </w:p>
    <w:p>
      <w:pPr>
        <w:pStyle w:val="Normal"/>
        <w:overflowPunct w:val="false"/>
        <w:rPr/>
      </w:pPr>
      <w:r>
        <w:rPr/>
      </w:r>
    </w:p>
    <w:p>
      <w:pPr>
        <w:pStyle w:val="Normal"/>
        <w:overflowPunct w:val="false"/>
        <w:rPr/>
      </w:pPr>
      <w:r>
        <w:rPr>
          <w:rFonts w:cs="ＭＳ 明朝"/>
        </w:rPr>
        <w:t xml:space="preserve">  </w:t>
      </w:r>
      <w:r>
        <w:rPr/>
        <w:t>（納入及び検収）</w:t>
      </w:r>
    </w:p>
    <w:p>
      <w:pPr>
        <w:pStyle w:val="Normal"/>
        <w:tabs>
          <w:tab w:val="clear" w:pos="840"/>
          <w:tab w:val="left" w:pos="915" w:leader="none"/>
        </w:tabs>
        <w:overflowPunct w:val="false"/>
        <w:ind w:left="220" w:hanging="220"/>
        <w:rPr/>
      </w:pPr>
      <w:r>
        <w:rPr/>
        <w:t>第３条　乙は、甲より発注のあった物品について、明細書に定める期限内に、納品書を添えて甲に納入するものとする。</w:t>
      </w:r>
    </w:p>
    <w:p>
      <w:pPr>
        <w:pStyle w:val="Normal"/>
        <w:overflowPunct w:val="false"/>
        <w:ind w:left="227" w:hanging="227"/>
        <w:rPr/>
      </w:pPr>
      <w:r>
        <w:rPr/>
        <w:t>２　甲は納入の通知を受けたときは、乙の立ち会いの下で物品の検収を行うものとする。</w:t>
      </w:r>
    </w:p>
    <w:p>
      <w:pPr>
        <w:pStyle w:val="Normal"/>
        <w:overflowPunct w:val="false"/>
        <w:ind w:left="227" w:hanging="227"/>
        <w:rPr/>
      </w:pPr>
      <w:r>
        <w:rPr/>
        <w:t>３　乙は前項の検収に立ち会わないときは、その検収の結果につき、立ち会わないことによる異議を申し立てることはできない。</w:t>
      </w:r>
    </w:p>
    <w:p>
      <w:pPr>
        <w:pStyle w:val="Normal"/>
        <w:overflowPunct w:val="false"/>
        <w:ind w:left="227" w:hanging="227"/>
        <w:rPr/>
      </w:pPr>
      <w:r>
        <w:rPr/>
        <w:t>４　第２項の検収に合格しないときは、乙は直ちに納入した物品を取り替えて、甲の指定する期日までに再検収を受けなければならない。この場合において、物品の納入及び再検収等については、前３項の規定を準用する。</w:t>
      </w:r>
    </w:p>
    <w:p>
      <w:pPr>
        <w:pStyle w:val="Normal"/>
        <w:overflowPunct w:val="false"/>
        <w:rPr/>
      </w:pPr>
      <w:r>
        <w:rPr/>
        <w:t>５　第２項及び前項の規定による検収の合格をもって、甲の検収は完了とする。</w:t>
      </w:r>
    </w:p>
    <w:p>
      <w:pPr>
        <w:pStyle w:val="Normal"/>
        <w:overflowPunct w:val="false"/>
        <w:ind w:left="227" w:hanging="227"/>
        <w:rPr/>
      </w:pPr>
      <w:r>
        <w:rPr/>
        <w:t>６　乙は、納入物品が甲の行う検収に合格したときは、納入場所において遅滞なく当該物品を甲に引き渡さなければならない。</w:t>
      </w:r>
    </w:p>
    <w:p>
      <w:pPr>
        <w:pStyle w:val="Normal"/>
        <w:overflowPunct w:val="false"/>
        <w:rPr/>
      </w:pPr>
      <w:r>
        <w:rPr/>
      </w:r>
    </w:p>
    <w:p>
      <w:pPr>
        <w:pStyle w:val="Normal"/>
        <w:overflowPunct w:val="false"/>
        <w:rPr/>
      </w:pPr>
      <w:r>
        <w:rPr>
          <w:rFonts w:cs="ＭＳ 明朝"/>
        </w:rPr>
        <w:t xml:space="preserve">   </w:t>
      </w:r>
      <w:r>
        <w:rPr/>
        <w:t>（納入期限の変更）</w:t>
      </w:r>
    </w:p>
    <w:p>
      <w:pPr>
        <w:pStyle w:val="Style18"/>
        <w:ind w:left="227" w:hanging="227"/>
        <w:jc w:val="both"/>
        <w:rPr/>
      </w:pPr>
      <w:r>
        <w:rPr/>
        <w:t>第４条　次の各号に該当する事由が生じた場合は、乙は甲に対し、納入期限の変更を申し入れることができる。</w:t>
      </w:r>
    </w:p>
    <w:p>
      <w:pPr>
        <w:pStyle w:val="Style18"/>
        <w:ind w:left="680" w:hanging="453"/>
        <w:jc w:val="both"/>
        <w:rPr/>
      </w:pPr>
      <w:r>
        <w:rPr/>
        <w:t>(</w:t>
      </w:r>
      <w:r>
        <w:rPr/>
        <w:t>１</w:t>
      </w:r>
      <w:r>
        <w:rPr/>
        <w:t>)</w:t>
      </w:r>
      <w:r>
        <w:rPr/>
        <w:t>　本契約に定められた甲の確認又は承認が規定の期間内に行われなかったとき。</w:t>
      </w:r>
    </w:p>
    <w:p>
      <w:pPr>
        <w:pStyle w:val="Style18"/>
        <w:ind w:left="680" w:hanging="453"/>
        <w:jc w:val="both"/>
        <w:rPr/>
      </w:pPr>
      <w:r>
        <w:rPr/>
        <w:t>(</w:t>
      </w:r>
      <w:r>
        <w:rPr/>
        <w:t>２</w:t>
      </w:r>
      <w:r>
        <w:rPr/>
        <w:t>)</w:t>
      </w:r>
      <w:r>
        <w:rPr/>
        <w:t>　甲の担当者が本契約の履行に必要な協力を行わなかったとき。</w:t>
      </w:r>
    </w:p>
    <w:p>
      <w:pPr>
        <w:pStyle w:val="Normal"/>
        <w:overflowPunct w:val="false"/>
        <w:ind w:left="680" w:hanging="453"/>
        <w:rPr/>
      </w:pPr>
      <w:r>
        <w:rPr/>
        <w:t>(</w:t>
      </w:r>
      <w:r>
        <w:rPr/>
        <w:t>３</w:t>
      </w:r>
      <w:r>
        <w:rPr/>
        <w:t>)</w:t>
      </w:r>
      <w:r>
        <w:rPr/>
        <w:t>　天災、地変その他乙の責に帰することのできない事情により、納入期限に納入することができなくなったとき。</w:t>
      </w:r>
    </w:p>
    <w:p>
      <w:pPr>
        <w:pStyle w:val="Normal"/>
        <w:overflowPunct w:val="false"/>
        <w:ind w:left="680" w:hanging="453"/>
        <w:rPr/>
      </w:pPr>
      <w:r>
        <w:rPr/>
        <w:t>(</w:t>
      </w:r>
      <w:r>
        <w:rPr/>
        <w:t>４</w:t>
      </w:r>
      <w:r>
        <w:rPr/>
        <w:t>)</w:t>
      </w:r>
      <w:r>
        <w:rPr/>
        <w:t>　その他、甲の認める特にやむを得ない事情により、納入期限に納入することができなくなったとき。</w:t>
      </w:r>
    </w:p>
    <w:p>
      <w:pPr>
        <w:pStyle w:val="Normal"/>
        <w:overflowPunct w:val="false"/>
        <w:ind w:left="227" w:hanging="227"/>
        <w:rPr/>
      </w:pPr>
      <w:r>
        <w:rPr/>
        <w:t>２</w:t>
      </w:r>
      <w:r>
        <w:rPr>
          <w:rFonts w:cs="ＭＳ 明朝"/>
        </w:rPr>
        <w:t xml:space="preserve">  </w:t>
      </w:r>
      <w:r>
        <w:rPr/>
        <w:t>前項に基づく申し入れは、納入期限変更の理由と納入物品の内訳を書面に明記し、乙の主任担当者がこれに記名押印した上で、これを甲に通知することにより行うものとする。</w:t>
      </w:r>
      <w:r>
        <w:rPr>
          <w:rFonts w:cs="ＭＳ 明朝"/>
        </w:rPr>
        <w:t xml:space="preserve"> </w:t>
      </w:r>
    </w:p>
    <w:p>
      <w:pPr>
        <w:pStyle w:val="Normal"/>
        <w:overflowPunct w:val="false"/>
        <w:ind w:left="227" w:hanging="227"/>
        <w:rPr/>
      </w:pPr>
      <w:r>
        <w:rPr/>
        <w:t>３　第１項の申し入れが行われたときは、甲及び乙は直ちに変更の内容及び変更日程について協議を行い、新たな納入期限を設定するものとする。</w:t>
      </w:r>
    </w:p>
    <w:p>
      <w:pPr>
        <w:pStyle w:val="Normal"/>
        <w:overflowPunct w:val="false"/>
        <w:rPr/>
      </w:pPr>
      <w:r>
        <w:rPr/>
      </w:r>
    </w:p>
    <w:p>
      <w:pPr>
        <w:pStyle w:val="Normal"/>
        <w:overflowPunct w:val="false"/>
        <w:ind w:firstLine="227"/>
        <w:rPr/>
      </w:pPr>
      <w:r>
        <w:rPr/>
        <w:t>（代金の請求及び支払）</w:t>
      </w:r>
    </w:p>
    <w:p>
      <w:pPr>
        <w:pStyle w:val="Normal"/>
        <w:overflowPunct w:val="false"/>
        <w:ind w:left="227" w:hanging="227"/>
        <w:rPr/>
      </w:pPr>
      <w:r>
        <w:rPr/>
        <w:t>第５条　乙は、物品について第３条の規定による引き渡しを終えた後、所定の手続きに従って既納物品の代金に消費税及び地方消費税相当額を加算した金額について、支払いを請求することができる。</w:t>
      </w:r>
    </w:p>
    <w:p>
      <w:pPr>
        <w:pStyle w:val="Normal"/>
        <w:overflowPunct w:val="false"/>
        <w:ind w:left="227" w:hanging="227"/>
        <w:rPr/>
      </w:pPr>
      <w:r>
        <w:rPr/>
        <w:t>２　消費税及び地方消費税相当額は支払時点において算出し、その算定に関して１円未満の端数が生じた場合には、当該端数は切り捨てるものとする。</w:t>
      </w:r>
    </w:p>
    <w:p>
      <w:pPr>
        <w:pStyle w:val="Normal"/>
        <w:overflowPunct w:val="false"/>
        <w:ind w:left="227" w:hanging="227"/>
        <w:rPr/>
      </w:pPr>
      <w:r>
        <w:rPr/>
      </w:r>
    </w:p>
    <w:p>
      <w:pPr>
        <w:pStyle w:val="Normal"/>
        <w:overflowPunct w:val="false"/>
        <w:ind w:left="227" w:hanging="227"/>
        <w:rPr/>
      </w:pPr>
      <w:r>
        <w:rPr/>
        <w:t>３　甲は、第１項の請求を受理し、当該請求が適切であると認めるときは、その日から起算して</w:t>
      </w:r>
      <w:r>
        <w:rPr/>
        <w:t>30</w:t>
      </w:r>
      <w:r>
        <w:rPr/>
        <w:t>日以内にこれを支払わなければならない。</w:t>
      </w:r>
    </w:p>
    <w:p>
      <w:pPr>
        <w:pStyle w:val="Normal"/>
        <w:overflowPunct w:val="false"/>
        <w:rPr/>
      </w:pPr>
      <w:r>
        <w:rPr/>
      </w:r>
    </w:p>
    <w:p>
      <w:pPr>
        <w:pStyle w:val="Normal"/>
        <w:overflowPunct w:val="false"/>
        <w:ind w:firstLine="227"/>
        <w:rPr/>
      </w:pPr>
      <w:r>
        <w:rPr/>
        <w:t>（秘密保持義務）</w:t>
      </w:r>
    </w:p>
    <w:p>
      <w:pPr>
        <w:pStyle w:val="Normal"/>
        <w:overflowPunct w:val="false"/>
        <w:rPr/>
      </w:pPr>
      <w:r>
        <w:rPr/>
        <w:t>第６条　本契約において、秘密情報とは次の各号に示すものをいう。</w:t>
      </w:r>
    </w:p>
    <w:p>
      <w:pPr>
        <w:pStyle w:val="Normal"/>
        <w:overflowPunct w:val="false"/>
        <w:ind w:left="680" w:hanging="453"/>
        <w:rPr/>
      </w:pPr>
      <w:r>
        <w:rPr/>
        <w:t>(</w:t>
      </w:r>
      <w:r>
        <w:rPr/>
        <w:t>１</w:t>
      </w:r>
      <w:r>
        <w:rPr/>
        <w:t>)</w:t>
      </w:r>
      <w:r>
        <w:rPr/>
        <w:t>　秘密である旨の表示をした書面で開示された相手方固有の業務上、技術上又は販売上の情報</w:t>
      </w:r>
    </w:p>
    <w:p>
      <w:pPr>
        <w:pStyle w:val="Normal"/>
        <w:overflowPunct w:val="false"/>
        <w:ind w:left="680" w:hanging="453"/>
        <w:rPr/>
      </w:pPr>
      <w:r>
        <w:rPr/>
        <w:t>(</w:t>
      </w:r>
      <w:r>
        <w:rPr/>
        <w:t>２</w:t>
      </w:r>
      <w:r>
        <w:rPr/>
        <w:t>)</w:t>
      </w:r>
      <w:r>
        <w:rPr/>
        <w:t>　秘密である旨明示して口頭若しくはデモンストレーション等により開示された相手方固有の業務上、技術上又は販売上の情報であって、開示後</w:t>
      </w:r>
      <w:r>
        <w:rPr/>
        <w:t>10</w:t>
      </w:r>
      <w:r>
        <w:rPr/>
        <w:t>日以内に相手方に書面で提示された情報</w:t>
      </w:r>
    </w:p>
    <w:p>
      <w:pPr>
        <w:pStyle w:val="Normal"/>
        <w:overflowPunct w:val="false"/>
        <w:ind w:left="227" w:hanging="227"/>
        <w:rPr/>
      </w:pPr>
      <w:r>
        <w:rPr/>
        <w:t>２　前項の規定にかかわらず、次の各号のいずれかに該当する情報は、前項における秘密情報から除くものとする。</w:t>
      </w:r>
    </w:p>
    <w:p>
      <w:pPr>
        <w:pStyle w:val="Normal"/>
        <w:overflowPunct w:val="false"/>
        <w:ind w:left="680" w:hanging="453"/>
        <w:rPr/>
      </w:pPr>
      <w:r>
        <w:rPr/>
        <w:t>(</w:t>
      </w:r>
      <w:r>
        <w:rPr/>
        <w:t>１</w:t>
      </w:r>
      <w:r>
        <w:rPr/>
        <w:t>)</w:t>
      </w:r>
      <w:r>
        <w:rPr/>
        <w:t>　開示の時点で既に公知のもの又は開示後秘密情報を受領した当事者</w:t>
      </w:r>
      <w:r>
        <w:rPr/>
        <w:t>(</w:t>
      </w:r>
      <w:r>
        <w:rPr/>
        <w:t>以下、「受領者」という。</w:t>
      </w:r>
      <w:r>
        <w:rPr/>
        <w:t>)</w:t>
      </w:r>
      <w:r>
        <w:rPr/>
        <w:t>の責によらずして公知となったもの</w:t>
      </w:r>
    </w:p>
    <w:p>
      <w:pPr>
        <w:pStyle w:val="Normal"/>
        <w:overflowPunct w:val="false"/>
        <w:ind w:firstLine="227"/>
        <w:rPr/>
      </w:pPr>
      <w:r>
        <w:rPr/>
        <w:t>(</w:t>
      </w:r>
      <w:r>
        <w:rPr/>
        <w:t>２</w:t>
      </w:r>
      <w:r>
        <w:rPr/>
        <w:t>)</w:t>
      </w:r>
      <w:r>
        <w:rPr/>
        <w:t>　受領者が第三者から秘密保持義務を負うことなく正当に入手したもの</w:t>
      </w:r>
    </w:p>
    <w:p>
      <w:pPr>
        <w:pStyle w:val="Normal"/>
        <w:overflowPunct w:val="false"/>
        <w:ind w:firstLine="227"/>
        <w:rPr/>
      </w:pPr>
      <w:r>
        <w:rPr/>
        <w:t>(</w:t>
      </w:r>
      <w:r>
        <w:rPr/>
        <w:t>３</w:t>
      </w:r>
      <w:r>
        <w:rPr/>
        <w:t>)</w:t>
      </w:r>
      <w:r>
        <w:rPr/>
        <w:t>　開示の時点で受領者が既に保有しているもの</w:t>
      </w:r>
    </w:p>
    <w:p>
      <w:pPr>
        <w:pStyle w:val="Normal"/>
        <w:overflowPunct w:val="false"/>
        <w:ind w:firstLine="227"/>
        <w:rPr/>
      </w:pPr>
      <w:r>
        <w:rPr/>
        <w:t>(</w:t>
      </w:r>
      <w:r>
        <w:rPr/>
        <w:t>４</w:t>
      </w:r>
      <w:r>
        <w:rPr/>
        <w:t>)</w:t>
      </w:r>
      <w:r>
        <w:rPr/>
        <w:t>　開示された秘密情報によらずして、独自に受領者が開発したもの</w:t>
      </w:r>
    </w:p>
    <w:p>
      <w:pPr>
        <w:pStyle w:val="Normal"/>
        <w:overflowPunct w:val="false"/>
        <w:ind w:left="227" w:hanging="227"/>
        <w:rPr/>
      </w:pPr>
      <w:r>
        <w:rPr/>
        <w:t>３　甲及び乙は、相手方の書面による事前の承諾なくして、本契約に関連して知り得た秘密情報を第三者に開示又は漏えいしてはならない。</w:t>
      </w:r>
    </w:p>
    <w:p>
      <w:pPr>
        <w:pStyle w:val="Normal"/>
        <w:overflowPunct w:val="false"/>
        <w:ind w:left="227" w:hanging="227"/>
        <w:rPr/>
      </w:pPr>
      <w:r>
        <w:rPr/>
        <w:t>４　前項にかかわらず、甲及び乙は、裁判所の命令その他法令により第三者への開示又は提供を強制されたときは、可能な範囲内で最大限に秘密を保持するための措置をとることを当該第三者に要求したうえで、秘密情報を当該第三者に開示又は提供することができる。</w:t>
      </w:r>
    </w:p>
    <w:p>
      <w:pPr>
        <w:pStyle w:val="Normal"/>
        <w:overflowPunct w:val="false"/>
        <w:ind w:left="227" w:hanging="227"/>
        <w:rPr/>
      </w:pPr>
      <w:r>
        <w:rPr/>
        <w:t>５　第１条第１項の規定にかかわらず、本契約に関連して別途甲及び乙の間で秘密保持に関する契約等を締結しているとき又は締結するときは、当該契約等の規定と本契約が異なる範囲において、当該契約等の規定が本契約に優先して適用される。</w:t>
      </w:r>
    </w:p>
    <w:p>
      <w:pPr>
        <w:pStyle w:val="Normal"/>
        <w:overflowPunct w:val="false"/>
        <w:rPr/>
      </w:pPr>
      <w:r>
        <w:rPr/>
        <w:t>６　本条の規定は、本契約終了後もなお有効に存続するものとする。</w:t>
      </w:r>
    </w:p>
    <w:p>
      <w:pPr>
        <w:pStyle w:val="Normal"/>
        <w:overflowPunct w:val="false"/>
        <w:rPr/>
      </w:pPr>
      <w:r>
        <w:rPr/>
      </w:r>
    </w:p>
    <w:p>
      <w:pPr>
        <w:pStyle w:val="Normal"/>
        <w:overflowPunct w:val="false"/>
        <w:ind w:firstLine="227"/>
        <w:rPr/>
      </w:pPr>
      <w:r>
        <w:rPr/>
        <w:t>（変更契約）</w:t>
      </w:r>
    </w:p>
    <w:p>
      <w:pPr>
        <w:pStyle w:val="Normal"/>
        <w:overflowPunct w:val="false"/>
        <w:ind w:left="227" w:hanging="227"/>
        <w:rPr/>
      </w:pPr>
      <w:r>
        <w:rPr/>
        <w:t>第７条　甲及び乙は、本契約書記載の事項につき変更する事由が生じた場合は、速やかに変更契約を締結しなければならない。</w:t>
      </w:r>
    </w:p>
    <w:p>
      <w:pPr>
        <w:pStyle w:val="Normal"/>
        <w:overflowPunct w:val="false"/>
        <w:ind w:left="227" w:hanging="227"/>
        <w:rPr/>
      </w:pPr>
      <w:r>
        <w:rPr/>
      </w:r>
    </w:p>
    <w:p>
      <w:pPr>
        <w:pStyle w:val="Normal"/>
        <w:rPr>
          <w:szCs w:val="22"/>
        </w:rPr>
      </w:pPr>
      <w:r>
        <w:rPr>
          <w:szCs w:val="22"/>
        </w:rPr>
        <w:t>（遅延賠償金）</w:t>
      </w:r>
    </w:p>
    <w:p>
      <w:pPr>
        <w:pStyle w:val="Normal"/>
        <w:overflowPunct w:val="false"/>
        <w:ind w:left="240" w:hanging="240"/>
        <w:rPr>
          <w:szCs w:val="22"/>
        </w:rPr>
      </w:pPr>
      <w:r>
        <w:rPr>
          <w:szCs w:val="22"/>
        </w:rPr>
        <w:t>第８条　甲又は乙が、本契約により生ずる金銭債務</w:t>
      </w:r>
      <w:r>
        <w:rPr>
          <w:szCs w:val="22"/>
        </w:rPr>
        <w:t>(</w:t>
      </w:r>
      <w:r>
        <w:rPr>
          <w:szCs w:val="22"/>
        </w:rPr>
        <w:t>手形債務を含む</w:t>
      </w:r>
      <w:r>
        <w:rPr>
          <w:szCs w:val="22"/>
        </w:rPr>
        <w:t>)</w:t>
      </w:r>
      <w:r>
        <w:rPr>
          <w:szCs w:val="22"/>
        </w:rPr>
        <w:t>の弁済を怠ったときは相手方に対し支払期日の翌日から完済の日まで</w:t>
      </w:r>
      <w:r>
        <w:rPr>
          <w:rFonts w:cs="ＭＳ Ｐゴシック"/>
          <w:szCs w:val="22"/>
        </w:rPr>
        <w:t>の日数に応じ、政府契約の支払遅延防止等に関する法律（昭和</w:t>
      </w:r>
      <w:r>
        <w:rPr>
          <w:rFonts w:cs="ＭＳ Ｐゴシック"/>
          <w:szCs w:val="22"/>
        </w:rPr>
        <w:t>24</w:t>
      </w:r>
      <w:r>
        <w:rPr>
          <w:rFonts w:cs="ＭＳ Ｐゴシック"/>
          <w:szCs w:val="22"/>
        </w:rPr>
        <w:t>年法律第</w:t>
      </w:r>
      <w:r>
        <w:rPr>
          <w:rFonts w:cs="ＭＳ Ｐゴシック"/>
          <w:szCs w:val="22"/>
        </w:rPr>
        <w:t>256</w:t>
      </w:r>
      <w:r>
        <w:rPr>
          <w:rFonts w:cs="ＭＳ Ｐゴシック"/>
          <w:szCs w:val="22"/>
        </w:rPr>
        <w:t>号）第８条第１項の規定に基づき財務大臣が決定する率を乗じて計算した額を遅延賠償金として徴収する。</w:t>
      </w:r>
    </w:p>
    <w:p>
      <w:pPr>
        <w:pStyle w:val="Normal"/>
        <w:overflowPunct w:val="false"/>
        <w:ind w:left="240" w:hanging="240"/>
        <w:rPr>
          <w:szCs w:val="22"/>
        </w:rPr>
      </w:pPr>
      <w:r>
        <w:rPr>
          <w:szCs w:val="22"/>
        </w:rPr>
        <w:t>２　乙の責に帰すべき事由により、決定された期限内に</w:t>
      </w:r>
      <w:r>
        <w:rPr>
          <w:color w:val="000000"/>
          <w:szCs w:val="22"/>
        </w:rPr>
        <w:t>第３条</w:t>
      </w:r>
      <w:r>
        <w:rPr>
          <w:szCs w:val="22"/>
        </w:rPr>
        <w:t>に規定する検収を完了することができないとき（</w:t>
      </w:r>
      <w:r>
        <w:rPr>
          <w:color w:val="000000"/>
          <w:szCs w:val="22"/>
        </w:rPr>
        <w:t>第９条</w:t>
      </w:r>
      <w:r>
        <w:rPr>
          <w:szCs w:val="22"/>
        </w:rPr>
        <w:t>により契約を解除した場合を除く。）は、甲は乙より遅延賠償金を徴したうえで、履行期限を延長することができる。</w:t>
      </w:r>
    </w:p>
    <w:p>
      <w:pPr>
        <w:pStyle w:val="Normal"/>
        <w:overflowPunct w:val="false"/>
        <w:ind w:left="240" w:hanging="240"/>
        <w:rPr/>
      </w:pPr>
      <w:r>
        <w:rPr>
          <w:szCs w:val="22"/>
        </w:rPr>
        <w:t>３　前項の遅延賠償金は、延長日数に応じて、第１項の規定する額とする。</w:t>
      </w:r>
    </w:p>
    <w:p>
      <w:pPr>
        <w:pStyle w:val="Normal"/>
        <w:overflowPunct w:val="false"/>
        <w:ind w:left="227" w:hanging="227"/>
        <w:rPr/>
      </w:pPr>
      <w:r>
        <w:rPr/>
      </w:r>
    </w:p>
    <w:p>
      <w:pPr>
        <w:pStyle w:val="Normal"/>
        <w:overflowPunct w:val="false"/>
        <w:rPr/>
      </w:pPr>
      <w:r>
        <w:rPr/>
        <w:t>　（契約の解除）</w:t>
      </w:r>
    </w:p>
    <w:p>
      <w:pPr>
        <w:pStyle w:val="Normal"/>
        <w:overflowPunct w:val="false"/>
        <w:ind w:left="227" w:hanging="227"/>
        <w:rPr/>
      </w:pPr>
      <w:r>
        <w:rPr/>
        <w:t>第９条　甲又は乙が次の各号のいずれかに該当したときは、相手方は何らの通知等を要せず直ちに本契約の全部又は一部を解除できるものとする。</w:t>
      </w:r>
    </w:p>
    <w:p>
      <w:pPr>
        <w:pStyle w:val="Normal"/>
        <w:overflowPunct w:val="false"/>
        <w:rPr/>
      </w:pPr>
      <w:r>
        <w:rPr/>
        <w:t>（１）　乙の実績により、物品の安定供給を履行する見込みがないと甲が認めたとき。</w:t>
      </w:r>
    </w:p>
    <w:p>
      <w:pPr>
        <w:pStyle w:val="Normal"/>
        <w:overflowPunct w:val="false"/>
        <w:ind w:left="678" w:hanging="678"/>
        <w:rPr/>
      </w:pPr>
      <w:r>
        <w:rPr/>
        <w:t>（２）　甲及び乙又はその代理人若しくは使用人において、契約の締結若しくは履行にあたり不正な行為をしたとき。</w:t>
      </w:r>
    </w:p>
    <w:p>
      <w:pPr>
        <w:pStyle w:val="Normal"/>
        <w:overflowPunct w:val="false"/>
        <w:ind w:left="678" w:hanging="678"/>
        <w:rPr/>
      </w:pPr>
      <w:r>
        <w:rPr/>
        <w:t>（３）　乙若しくはその代理人若しくは使用人において、正当な理由なく甲の監督若しくは検収の実施にあたりその指示に従わないとき又はその職務執行を妨害したとき。</w:t>
      </w:r>
    </w:p>
    <w:p>
      <w:pPr>
        <w:pStyle w:val="Normal"/>
        <w:overflowPunct w:val="false"/>
        <w:ind w:left="678" w:hanging="678"/>
        <w:rPr/>
      </w:pPr>
      <w:r>
        <w:rPr/>
        <w:t>（４）　乙の株主若しくは役員の変更又は主要な使用人の退職により、この契約の履行が従前と比して著しく困難になったとき。</w:t>
      </w:r>
    </w:p>
    <w:p>
      <w:pPr>
        <w:pStyle w:val="Normal"/>
        <w:overflowPunct w:val="false"/>
        <w:ind w:left="678" w:hanging="678"/>
        <w:rPr/>
      </w:pPr>
      <w:r>
        <w:rPr/>
        <w:t>（５）　手形又は小切手が不渡りとなったとき。</w:t>
      </w:r>
    </w:p>
    <w:p>
      <w:pPr>
        <w:pStyle w:val="Normal"/>
        <w:overflowPunct w:val="false"/>
        <w:ind w:left="678" w:hanging="678"/>
        <w:rPr/>
      </w:pPr>
      <w:r>
        <w:rPr/>
        <w:t>（６）　乙が銀行取引停止処分又は差押、仮差押、仮処分若しくは競売その他の強制執行若しくは租税滞納処分を受けたとき。</w:t>
      </w:r>
    </w:p>
    <w:p>
      <w:pPr>
        <w:pStyle w:val="Normal"/>
        <w:overflowPunct w:val="false"/>
        <w:ind w:left="680" w:hanging="680"/>
        <w:rPr/>
      </w:pPr>
      <w:r>
        <w:rPr/>
        <w:t>（７）　乙において破産、特定調停手続開始、会社更生手続開始若しくは民事再生手続開始その他これらに類似する倒産手続開始の申し立てがあったとき、又は清算に入ったとき。</w:t>
      </w:r>
    </w:p>
    <w:p>
      <w:pPr>
        <w:pStyle w:val="Normal"/>
        <w:overflowPunct w:val="false"/>
        <w:ind w:left="678" w:hanging="678"/>
        <w:rPr/>
      </w:pPr>
      <w:r>
        <w:rPr/>
        <w:t>（８）　乙が解散しようとし、若しくは営業の全部若しくは重要な一部を第三者に譲渡しようとし、若しくは転廃業しようとしたとき又は監督官公庁から営業の取消、若しくは停止等の処分を受けたとき。</w:t>
      </w:r>
    </w:p>
    <w:p>
      <w:pPr>
        <w:pStyle w:val="Normal"/>
        <w:overflowPunct w:val="false"/>
        <w:ind w:left="678" w:hanging="678"/>
        <w:rPr/>
      </w:pPr>
      <w:r>
        <w:rPr/>
        <w:t>（９）　前各号のほか、本契約に基づく債務を履行せず、相手方から相当の期間を定めて催告を受けたにもかかわらず、なおその期間内に履行しないとき。</w:t>
      </w:r>
    </w:p>
    <w:p>
      <w:pPr>
        <w:pStyle w:val="Normal"/>
        <w:overflowPunct w:val="false"/>
        <w:ind w:left="227" w:hanging="227"/>
        <w:rPr/>
      </w:pPr>
      <w:r>
        <w:rPr/>
        <w:t>２　甲又は乙は、前項各号のいずれかに該当したときは、当然に期限の利益を失い、相手方に対して負担する一切の金銭債務を直ちに弁済するものとする。</w:t>
      </w:r>
    </w:p>
    <w:p>
      <w:pPr>
        <w:pStyle w:val="Normal"/>
        <w:overflowPunct w:val="false"/>
        <w:ind w:left="227" w:hanging="227"/>
        <w:rPr/>
      </w:pPr>
      <w:r>
        <w:rPr/>
        <w:t>３　甲又は乙の事情により一方が契約の解除を申し出たときは、その日から</w:t>
      </w:r>
      <w:r>
        <w:rPr/>
        <w:t>14</w:t>
      </w:r>
      <w:r>
        <w:rPr/>
        <w:t>日以内に甲及び乙による協議を行うこととする。この場合において、解除の期日その他の条件については、当該協議の場において決定することとし、その内容については甲乙それぞれが記名押印した書面を交換することで確認することとする。</w:t>
      </w:r>
    </w:p>
    <w:p>
      <w:pPr>
        <w:pStyle w:val="Normal"/>
        <w:overflowPunct w:val="false"/>
        <w:rPr/>
      </w:pPr>
      <w:r>
        <w:rPr/>
      </w:r>
    </w:p>
    <w:p>
      <w:pPr>
        <w:pStyle w:val="Normal"/>
        <w:overflowPunct w:val="false"/>
        <w:ind w:firstLine="227"/>
        <w:rPr/>
      </w:pPr>
      <w:r>
        <w:rPr/>
        <w:t>（債務不履行責任）</w:t>
      </w:r>
    </w:p>
    <w:p>
      <w:pPr>
        <w:pStyle w:val="Normal"/>
        <w:overflowPunct w:val="false"/>
        <w:ind w:left="227" w:hanging="227"/>
        <w:rPr/>
      </w:pPr>
      <w:r>
        <w:rPr/>
        <w:t>第</w:t>
      </w:r>
      <w:r>
        <w:rPr/>
        <w:t>10</w:t>
      </w:r>
      <w:r>
        <w:rPr/>
        <w:t>条　甲及び乙は、本契約に基づく債務を履行しないこと、又は前条第１項第１号から第８号までのいずれかに該当したことにより相手方に損害を与えた場合は、その損害額等について協議のうえ、本契約の解除の有無にかかわらず、本契約締結にかかる入札において乙が入札書に記載した金額相当額を限度として賠償責任を負うものとする。ただし、当事者の責に帰すことができない事由から生じた損害並びに当事者の予見し得ない特別の事情から生じた損害及び逸失利益については、賠償責任の範囲外とする。</w:t>
      </w:r>
    </w:p>
    <w:p>
      <w:pPr>
        <w:pStyle w:val="Normal"/>
        <w:overflowPunct w:val="false"/>
        <w:rPr/>
      </w:pPr>
      <w:r>
        <w:rPr/>
      </w:r>
    </w:p>
    <w:p>
      <w:pPr>
        <w:pStyle w:val="Normal"/>
        <w:overflowPunct w:val="false"/>
        <w:ind w:firstLine="227"/>
        <w:rPr/>
      </w:pPr>
      <w:r>
        <w:rPr/>
        <w:t>（一般的損害及び不可抗力による損害）</w:t>
      </w:r>
    </w:p>
    <w:p>
      <w:pPr>
        <w:pStyle w:val="Normal"/>
        <w:overflowPunct w:val="false"/>
        <w:ind w:left="227" w:hanging="227"/>
        <w:rPr/>
      </w:pPr>
      <w:r>
        <w:rPr/>
        <w:t>第</w:t>
      </w:r>
      <w:r>
        <w:rPr/>
        <w:t>11</w:t>
      </w:r>
      <w:r>
        <w:rPr/>
        <w:t>条　物品の引き渡し前に生じた損害及び処理過程での発生品に関する損害は、乙の負担とする。ただし、甲の責に帰すべき事由により生じたものについては、甲がこれを負担する。</w:t>
      </w:r>
    </w:p>
    <w:p>
      <w:pPr>
        <w:pStyle w:val="Normal"/>
        <w:overflowPunct w:val="false"/>
        <w:ind w:left="227" w:hanging="227"/>
        <w:rPr/>
      </w:pPr>
      <w:r>
        <w:rPr/>
        <w:t>２　甲は、不可抗力によって生じた損害について、乙が善良な管理者の注意義務を怠らなかったと認めるときは、損害額を認定し、その一部を負担することができる。</w:t>
      </w:r>
    </w:p>
    <w:p>
      <w:pPr>
        <w:pStyle w:val="Normal"/>
        <w:overflowPunct w:val="false"/>
        <w:rPr/>
      </w:pPr>
      <w:r>
        <w:rPr/>
      </w:r>
    </w:p>
    <w:p>
      <w:pPr>
        <w:pStyle w:val="Normal"/>
        <w:overflowPunct w:val="false"/>
        <w:ind w:firstLine="227"/>
        <w:rPr/>
      </w:pPr>
      <w:r>
        <w:rPr/>
        <w:t>（第三者に及ぼした損害）</w:t>
      </w:r>
    </w:p>
    <w:p>
      <w:pPr>
        <w:pStyle w:val="Normal"/>
        <w:overflowPunct w:val="false"/>
        <w:ind w:left="227" w:hanging="227"/>
        <w:rPr/>
      </w:pPr>
      <w:r>
        <w:rPr/>
        <w:t>第</w:t>
      </w:r>
      <w:r>
        <w:rPr/>
        <w:t>12</w:t>
      </w:r>
      <w:r>
        <w:rPr/>
        <w:t>条　この契約の履行につき第三者に対して損害を与えたときは、その賠償の責及び負担については、甲乙協議して決定することとする。</w:t>
      </w:r>
    </w:p>
    <w:p>
      <w:pPr>
        <w:pStyle w:val="Normal"/>
        <w:overflowPunct w:val="false"/>
        <w:rPr/>
      </w:pPr>
      <w:r>
        <w:rPr/>
      </w:r>
    </w:p>
    <w:p>
      <w:pPr>
        <w:pStyle w:val="Normal"/>
        <w:overflowPunct w:val="false"/>
        <w:rPr/>
      </w:pPr>
      <w:r>
        <w:rPr/>
        <w:t>　（管轄裁判所）</w:t>
      </w:r>
    </w:p>
    <w:p>
      <w:pPr>
        <w:pStyle w:val="Normal"/>
        <w:overflowPunct w:val="false"/>
        <w:ind w:left="227" w:hanging="227"/>
        <w:rPr/>
      </w:pPr>
      <w:r>
        <w:rPr/>
        <w:t>第</w:t>
      </w:r>
      <w:r>
        <w:rPr/>
        <w:t>13</w:t>
      </w:r>
      <w:r>
        <w:rPr/>
        <w:t>条　本契約に関する訴訟については、那覇地方裁判所をもって第一審の専属的合意管轄裁判所とする。</w:t>
      </w:r>
    </w:p>
    <w:p>
      <w:pPr>
        <w:pStyle w:val="Normal"/>
        <w:overflowPunct w:val="false"/>
        <w:rPr/>
      </w:pPr>
      <w:r>
        <w:rPr/>
      </w:r>
    </w:p>
    <w:p>
      <w:pPr>
        <w:pStyle w:val="Normal"/>
        <w:overflowPunct w:val="false"/>
        <w:ind w:firstLine="227"/>
        <w:rPr/>
      </w:pPr>
      <w:r>
        <w:rPr/>
        <w:t>（誠実協議）</w:t>
      </w:r>
    </w:p>
    <w:p>
      <w:pPr>
        <w:pStyle w:val="Normal"/>
        <w:overflowPunct w:val="false"/>
        <w:ind w:left="227" w:hanging="227"/>
        <w:rPr/>
      </w:pPr>
      <w:r>
        <w:rPr/>
        <w:t>第</w:t>
      </w:r>
      <w:r>
        <w:rPr/>
        <w:t>14</w:t>
      </w:r>
      <w:r>
        <w:rPr/>
        <w:t>条　本契約に定めのない事項については、その都度甲と乙が誠意をもって協議し、円満に解決するものとする。</w:t>
      </w:r>
    </w:p>
    <w:p>
      <w:pPr>
        <w:pStyle w:val="Normal"/>
        <w:overflowPunct w:val="false"/>
        <w:rPr/>
      </w:pPr>
      <w:r>
        <w:rPr/>
      </w:r>
    </w:p>
    <w:p>
      <w:pPr>
        <w:pStyle w:val="Normal"/>
        <w:overflowPunct w:val="false"/>
        <w:rPr/>
      </w:pPr>
      <w:r>
        <w:rPr/>
      </w:r>
    </w:p>
    <w:p>
      <w:pPr>
        <w:pStyle w:val="Normal"/>
        <w:overflowPunct w:val="false"/>
        <w:rPr/>
      </w:pPr>
      <w:r>
        <w:rPr/>
      </w:r>
    </w:p>
    <w:p>
      <w:pPr>
        <w:pStyle w:val="Normal"/>
        <w:overflowPunct w:val="false"/>
        <w:ind w:firstLine="227"/>
        <w:rPr/>
      </w:pPr>
      <w:r>
        <w:rPr/>
        <w:t>（遵守義務）</w:t>
      </w:r>
    </w:p>
    <w:p>
      <w:pPr>
        <w:pStyle w:val="Normal"/>
        <w:overflowPunct w:val="false"/>
        <w:ind w:left="227" w:hanging="227"/>
        <w:rPr/>
      </w:pPr>
      <w:r>
        <w:rPr/>
        <w:t>第</w:t>
      </w:r>
      <w:r>
        <w:rPr/>
        <w:t>15</w:t>
      </w:r>
      <w:r>
        <w:rPr/>
        <w:t>条　乙は、本契約条項のほか、浦添市及びその執行機関の定める例規その他の法令を遵守しなければならない。</w:t>
      </w:r>
    </w:p>
    <w:p>
      <w:pPr>
        <w:pStyle w:val="Normal"/>
        <w:overflowPunct w:val="false"/>
        <w:rPr/>
      </w:pPr>
      <w:r>
        <w:rPr/>
      </w:r>
    </w:p>
    <w:p>
      <w:pPr>
        <w:pStyle w:val="Normal"/>
        <w:overflowPunct w:val="false"/>
        <w:ind w:left="227" w:hanging="227"/>
        <w:rPr/>
      </w:pPr>
      <w:r>
        <w:rPr/>
        <w:t>第二部　物品の売買に関する条項</w:t>
      </w:r>
    </w:p>
    <w:p>
      <w:pPr>
        <w:pStyle w:val="Normal"/>
        <w:overflowPunct w:val="false"/>
        <w:rPr/>
      </w:pPr>
      <w:r>
        <w:rPr/>
      </w:r>
    </w:p>
    <w:p>
      <w:pPr>
        <w:pStyle w:val="Normal"/>
        <w:overflowPunct w:val="false"/>
        <w:ind w:left="227" w:hanging="0"/>
        <w:rPr/>
      </w:pPr>
      <w:r>
        <w:rPr/>
        <w:t>（契約不適合責任）</w:t>
      </w:r>
    </w:p>
    <w:p>
      <w:pPr>
        <w:pStyle w:val="Normal"/>
        <w:overflowPunct w:val="false"/>
        <w:ind w:left="227" w:hanging="227"/>
        <w:rPr/>
      </w:pPr>
      <w:r>
        <w:rPr/>
        <w:t>第</w:t>
      </w:r>
      <w:r>
        <w:rPr/>
        <w:t>16</w:t>
      </w:r>
      <w:r>
        <w:rPr/>
        <w:t>条　納入された物品が種類、品質に関して契約の内容に適合しないもの（以下「契約不適合」という。）であるときは、甲は乙に対し、当該物品の修補、代替物の引渡しによる履行の追完を請求することができる。ただし、乙は、甲に不相当な負担を課するものでないときは、甲が請求した方法と異なる方法による履行の追完をすることができる。</w:t>
      </w:r>
    </w:p>
    <w:p>
      <w:pPr>
        <w:pStyle w:val="Normal"/>
        <w:overflowPunct w:val="false"/>
        <w:ind w:left="227" w:hanging="227"/>
        <w:rPr/>
      </w:pPr>
      <w:r>
        <w:rPr/>
        <w:t>２　前項の契約不適合が甲の責に帰するべき事由によるものであるときは、甲は履行の追完を請求することができない。</w:t>
      </w:r>
    </w:p>
    <w:p>
      <w:pPr>
        <w:pStyle w:val="Normal"/>
        <w:overflowPunct w:val="false"/>
        <w:rPr/>
      </w:pPr>
      <w:r>
        <w:rPr/>
      </w:r>
    </w:p>
    <w:p>
      <w:pPr>
        <w:pStyle w:val="Normal"/>
        <w:overflowPunct w:val="false"/>
        <w:ind w:left="227" w:hanging="0"/>
        <w:rPr/>
      </w:pPr>
      <w:r>
        <w:rPr/>
        <w:t>（契約不適合責任期間）</w:t>
      </w:r>
    </w:p>
    <w:p>
      <w:pPr>
        <w:pStyle w:val="Normal"/>
        <w:overflowPunct w:val="false"/>
        <w:ind w:left="227" w:hanging="227"/>
        <w:rPr>
          <w:color w:val="FF0000"/>
        </w:rPr>
      </w:pPr>
      <w:r>
        <w:rPr/>
        <w:t>第</w:t>
      </w:r>
      <w:r>
        <w:rPr/>
        <w:t>17</w:t>
      </w:r>
      <w:r>
        <w:rPr/>
        <w:t>条　乙が契約不適合の物品を甲に引き渡した場合において、甲がその契約不適合を知った時から１年以内にその旨を乙に通知しないときは、甲は、その契約不適合を理由として、履行の追完の請求をすることができない。ただし、乙が引渡しの時のその契約不適合を知り、又は重大な過失によって知らなかったときは、この限りではない。</w:t>
      </w:r>
    </w:p>
    <w:p>
      <w:pPr>
        <w:pStyle w:val="Normal"/>
        <w:overflowPunct w:val="false"/>
        <w:ind w:left="227" w:hanging="227"/>
        <w:rPr/>
      </w:pPr>
      <w:r>
        <w:rPr/>
      </w:r>
    </w:p>
    <w:p>
      <w:pPr>
        <w:pStyle w:val="Normal"/>
        <w:overflowPunct w:val="false"/>
        <w:ind w:left="227" w:hanging="227"/>
        <w:rPr/>
      </w:pPr>
      <w:r>
        <w:rPr/>
        <w:t>以下余白</w:t>
      </w:r>
    </w:p>
    <w:p>
      <w:pPr>
        <w:pStyle w:val="Normal"/>
        <w:rPr/>
      </w:pPr>
      <w:r>
        <w:rPr/>
      </w:r>
    </w:p>
    <w:sectPr>
      <w:type w:val="nextPage"/>
      <w:pgSz w:w="11906" w:h="16838"/>
      <w:pgMar w:left="1418" w:right="1418" w:gutter="0" w:header="0" w:top="1418" w:footer="0" w:bottom="1418"/>
      <w:pgNumType w:fmt="decimal"/>
      <w:formProt w:val="false"/>
      <w:textDirection w:val="lrTb"/>
      <w:docGrid w:type="default" w:linePitch="29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c07f19"/>
    <w:pPr>
      <w:widowControl w:val="false"/>
      <w:suppressAutoHyphens w:val="true"/>
      <w:bidi w:val="0"/>
      <w:spacing w:before="0" w:after="0"/>
      <w:jc w:val="both"/>
    </w:pPr>
    <w:rPr>
      <w:rFonts w:ascii="ＭＳ 明朝" w:hAnsi="ＭＳ 明朝" w:eastAsia="ＭＳ 明朝" w:cs="Century"/>
      <w:color w:val="auto"/>
      <w:kern w:val="2"/>
      <w:sz w:val="22"/>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本文 (文字)"/>
    <w:basedOn w:val="DefaultParagraphFont"/>
    <w:qFormat/>
    <w:rsid w:val="00c07f19"/>
    <w:rPr>
      <w:rFonts w:ascii="ＭＳ 明朝" w:hAnsi="ＭＳ 明朝" w:eastAsia="ＭＳ 明朝" w:cs="Century"/>
      <w:kern w:val="2"/>
      <w:sz w:val="22"/>
      <w:szCs w:val="24"/>
    </w:rPr>
  </w:style>
  <w:style w:type="character" w:styleId="Annotationreference">
    <w:name w:val="annotation reference"/>
    <w:uiPriority w:val="99"/>
    <w:semiHidden/>
    <w:unhideWhenUsed/>
    <w:qFormat/>
    <w:rsid w:val="00c07f19"/>
    <w:rPr>
      <w:sz w:val="18"/>
      <w:szCs w:val="18"/>
    </w:rPr>
  </w:style>
  <w:style w:type="character" w:styleId="Style15" w:customStyle="1">
    <w:name w:val="コメント文字列 (文字)"/>
    <w:basedOn w:val="DefaultParagraphFont"/>
    <w:link w:val="Annotationtext"/>
    <w:uiPriority w:val="99"/>
    <w:qFormat/>
    <w:rsid w:val="00c07f19"/>
    <w:rPr>
      <w:rFonts w:ascii="ＭＳ 明朝" w:hAnsi="ＭＳ 明朝" w:eastAsia="ＭＳ 明朝" w:cs="Century"/>
      <w:kern w:val="2"/>
      <w:sz w:val="22"/>
      <w:szCs w:val="24"/>
    </w:rPr>
  </w:style>
  <w:style w:type="character" w:styleId="Style16" w:customStyle="1">
    <w:name w:val="吹き出し (文字)"/>
    <w:basedOn w:val="DefaultParagraphFont"/>
    <w:link w:val="BalloonText"/>
    <w:uiPriority w:val="99"/>
    <w:semiHidden/>
    <w:qFormat/>
    <w:rsid w:val="00c07f19"/>
    <w:rPr>
      <w:rFonts w:ascii="游ゴシック Light" w:hAnsi="游ゴシック Light" w:eastAsia="" w:cs="游ゴシック Light" w:asciiTheme="majorHAnsi" w:cstheme="majorBidi" w:eastAsiaTheme="majorEastAsia" w:hAnsiTheme="majorHAnsi"/>
      <w:kern w:val="2"/>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link w:val="Style14"/>
    <w:rsid w:val="00c07f19"/>
    <w:pPr>
      <w:overflowPunct w:val="false"/>
      <w:jc w:val="left"/>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Annotationtext">
    <w:name w:val="annotation text"/>
    <w:basedOn w:val="Normal"/>
    <w:link w:val="Style15"/>
    <w:uiPriority w:val="99"/>
    <w:unhideWhenUsed/>
    <w:qFormat/>
    <w:rsid w:val="00c07f19"/>
    <w:pPr>
      <w:jc w:val="left"/>
    </w:pPr>
    <w:rPr/>
  </w:style>
  <w:style w:type="paragraph" w:styleId="BalloonText">
    <w:name w:val="Balloon Text"/>
    <w:basedOn w:val="Normal"/>
    <w:link w:val="Style16"/>
    <w:uiPriority w:val="99"/>
    <w:semiHidden/>
    <w:unhideWhenUsed/>
    <w:qFormat/>
    <w:rsid w:val="00c07f19"/>
    <w:pPr/>
    <w:rPr>
      <w:rFonts w:ascii="游ゴシック Light" w:hAnsi="游ゴシック Light" w:eastAsia="" w:cs="游ゴシック Light"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LibreOffice/7.5.7.1$Windows_X86_64 LibreOffice_project/47eb0cf7efbacdee9b19ae25d6752381ede23126</Application>
  <AppVersion>15.0000</AppVersion>
  <Pages>4</Pages>
  <Words>4543</Words>
  <Characters>4564</Characters>
  <CharactersWithSpaces>4724</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2024-04-22T04:06:00Z</dcterms:created>
  <dc:creator>狩野 諒</dc:creator>
  <dc:description/>
  <dc:language>ja-JP</dc:language>
  <cp:lastModifiedBy/>
  <dcterms:modified xsi:type="dcterms:W3CDTF">2025-07-08T18:18:07Z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